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/>
    <w:p>
      <w:pPr>
        <w:spacing w:after="120"/>
        <w:jc w:val="center"/>
      </w:pPr>
      <w:r>
        <w:rPr>
          <w:rFonts w:ascii="Inter" w:hAnsi="Inter"/>
          <w:b/>
          <w:color w:val="2B2B2B"/>
          <w:sz w:val="56"/>
        </w:rPr>
        <w:t>Optimización de Circuito SX</w:t>
      </w:r>
    </w:p>
    <w:p>
      <w:pPr>
        <w:spacing w:after="240"/>
        <w:jc w:val="center"/>
      </w:pPr>
      <w:r>
        <w:rPr>
          <w:rFonts w:ascii="Inter" w:hAnsi="Inter"/>
          <w:color w:val="0F2A44"/>
          <w:sz w:val="32"/>
        </w:rPr>
        <w:t>Diagnóstico y Recomendaciones Técnicas</w:t>
      </w:r>
    </w:p>
    <w:p>
      <w:pPr>
        <w:spacing w:after="360"/>
        <w:jc w:val="center"/>
      </w:pPr>
      <w:r>
        <w:rPr>
          <w:rFonts w:ascii="Inter" w:hAnsi="Inter"/>
          <w:color w:val="2B2B2B"/>
          <w:sz w:val="22"/>
        </w:rPr>
        <w:t>Cliente: Operación Minera XYZ</w:t>
        <w:br/>
        <w:t>Fecha: 6 de febrero de 2026</w:t>
        <w:br/>
        <w:t>Versión: v1.0</w:t>
      </w:r>
    </w:p>
    <w:p>
      <w:pPr>
        <w:pStyle w:val="Heading2"/>
        <w:spacing w:before="0" w:after="120"/>
      </w:pPr>
      <w:r>
        <w:rPr>
          <w:rFonts w:ascii="Inter" w:hAnsi="Inter"/>
          <w:color w:val="0F2A44"/>
        </w:rPr>
        <w:t>Control de Versiones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96"/>
        <w:gridCol w:w="2196"/>
        <w:gridCol w:w="2196"/>
        <w:gridCol w:w="2196"/>
      </w:tblGrid>
      <w:tr>
        <w:tc>
          <w:tcPr>
            <w:tcW w:type="dxa" w:w="2196"/>
          </w:tcPr>
          <w:p>
            <w:r>
              <w:rPr>
                <w:rFonts w:ascii="Inter" w:hAnsi="Inter"/>
                <w:b/>
                <w:color w:val="FFFFFF"/>
                <w:sz w:val="20"/>
              </w:rPr>
              <w:t>Versión</w:t>
            </w:r>
          </w:p>
        </w:tc>
        <w:tc>
          <w:tcPr>
            <w:tcW w:type="dxa" w:w="2196"/>
          </w:tcPr>
          <w:p>
            <w:r>
              <w:rPr>
                <w:rFonts w:ascii="Inter" w:hAnsi="Inter"/>
                <w:b/>
                <w:color w:val="FFFFFF"/>
                <w:sz w:val="20"/>
              </w:rPr>
              <w:t>Fecha</w:t>
            </w:r>
          </w:p>
        </w:tc>
        <w:tc>
          <w:tcPr>
            <w:tcW w:type="dxa" w:w="2196"/>
          </w:tcPr>
          <w:p>
            <w:r>
              <w:rPr>
                <w:rFonts w:ascii="Inter" w:hAnsi="Inter"/>
                <w:b/>
                <w:color w:val="FFFFFF"/>
                <w:sz w:val="20"/>
              </w:rPr>
              <w:t>Descripción</w:t>
            </w:r>
          </w:p>
        </w:tc>
        <w:tc>
          <w:tcPr>
            <w:tcW w:type="dxa" w:w="2196"/>
          </w:tcPr>
          <w:p>
            <w:r>
              <w:rPr>
                <w:rFonts w:ascii="Inter" w:hAnsi="Inter"/>
                <w:b/>
                <w:color w:val="FFFFFF"/>
                <w:sz w:val="20"/>
              </w:rPr>
              <w:t>Responsable</w:t>
            </w:r>
          </w:p>
        </w:tc>
      </w:tr>
      <w:tr>
        <w:tc>
          <w:tcPr>
            <w:tcW w:type="dxa" w:w="2196"/>
          </w:tcPr>
          <w:p>
            <w:r>
              <w:rPr>
                <w:rFonts w:ascii="Inter" w:hAnsi="Inter"/>
                <w:sz w:val="20"/>
              </w:rPr>
              <w:t>v1.0</w:t>
            </w:r>
          </w:p>
        </w:tc>
        <w:tc>
          <w:tcPr>
            <w:tcW w:type="dxa" w:w="2196"/>
          </w:tcPr>
          <w:p>
            <w:r>
              <w:rPr>
                <w:rFonts w:ascii="Inter" w:hAnsi="Inter"/>
                <w:sz w:val="20"/>
              </w:rPr>
              <w:t>2026-02-06</w:t>
            </w:r>
          </w:p>
        </w:tc>
        <w:tc>
          <w:tcPr>
            <w:tcW w:type="dxa" w:w="2196"/>
          </w:tcPr>
          <w:p>
            <w:r>
              <w:rPr>
                <w:rFonts w:ascii="Inter" w:hAnsi="Inter"/>
                <w:sz w:val="20"/>
              </w:rPr>
              <w:t>Emisión inicial</w:t>
            </w:r>
          </w:p>
        </w:tc>
        <w:tc>
          <w:tcPr>
            <w:tcW w:type="dxa" w:w="2196"/>
          </w:tcPr>
          <w:p>
            <w:r>
              <w:rPr>
                <w:rFonts w:ascii="Inter" w:hAnsi="Inter"/>
                <w:sz w:val="20"/>
              </w:rPr>
              <w:t>HydroSynapse</w:t>
            </w:r>
          </w:p>
        </w:tc>
      </w:tr>
    </w:tbl>
    <w:p>
      <w:r>
        <w:br w:type="page"/>
      </w:r>
    </w:p>
    <w:p>
      <w:pPr>
        <w:pStyle w:val="Heading1"/>
      </w:pPr>
      <w:r>
        <w:rPr>
          <w:rFonts w:ascii="Inter" w:hAnsi="Inter"/>
          <w:color w:val="0F2A44"/>
        </w:rPr>
        <w:t>Resumen Ejecutivo</w:t>
      </w:r>
    </w:p>
    <w:p>
      <w:pPr>
        <w:pStyle w:val="Heading2"/>
      </w:pPr>
      <w:r>
        <w:rPr>
          <w:rFonts w:ascii="Inter" w:hAnsi="Inter"/>
          <w:color w:val="2B2B2B"/>
        </w:rPr>
        <w:t>Objetivo</w:t>
      </w:r>
    </w:p>
    <w:p>
      <w:r>
        <w:rPr>
          <w:rFonts w:ascii="Inter" w:hAnsi="Inter"/>
          <w:color w:val="2B2B2B"/>
          <w:sz w:val="22"/>
        </w:rPr>
        <w:t>Evaluar el desempeño del circuito SX para identificar pérdidas de orgánico, inestabilidad en calidad de electrolito y oportunidades de optimización con impacto en recuperación metalúrgica y costos operacionales.</w:t>
      </w:r>
    </w:p>
    <w:p>
      <w:pPr>
        <w:pStyle w:val="Heading2"/>
      </w:pPr>
      <w:r>
        <w:rPr>
          <w:rFonts w:ascii="Inter" w:hAnsi="Inter"/>
          <w:color w:val="2B2B2B"/>
        </w:rPr>
        <w:t>Hallazgos Críticos</w:t>
      </w:r>
    </w:p>
    <w:p>
      <w:pPr>
        <w:pStyle w:val="ListBullet"/>
      </w:pPr>
      <w:r>
        <w:rPr>
          <w:rFonts w:ascii="Inter" w:hAnsi="Inter"/>
          <w:color w:val="2B2B2B"/>
          <w:sz w:val="22"/>
        </w:rPr>
        <w:t>Pérdida de orgánico: 12.3% (objetivo &lt; 5%)</w:t>
      </w:r>
    </w:p>
    <w:p>
      <w:pPr>
        <w:pStyle w:val="ListBullet"/>
      </w:pPr>
      <w:r>
        <w:rPr>
          <w:rFonts w:ascii="Inter" w:hAnsi="Inter"/>
          <w:color w:val="2B2B2B"/>
          <w:sz w:val="22"/>
        </w:rPr>
        <w:t>Variabilidad en concentración de electrolito: ±0.8 g/L</w:t>
      </w:r>
    </w:p>
    <w:p>
      <w:pPr>
        <w:pStyle w:val="ListBullet"/>
      </w:pPr>
      <w:r>
        <w:rPr>
          <w:rFonts w:ascii="Inter" w:hAnsi="Inter"/>
          <w:color w:val="2B2B2B"/>
          <w:sz w:val="22"/>
        </w:rPr>
        <w:t>Formación de crud: 2.1 kg/día (crítico)</w:t>
      </w:r>
    </w:p>
    <w:p>
      <w:pPr>
        <w:pStyle w:val="ListBullet"/>
      </w:pPr>
      <w:r>
        <w:rPr>
          <w:rFonts w:ascii="Inter" w:hAnsi="Inter"/>
          <w:color w:val="2B2B2B"/>
          <w:sz w:val="22"/>
        </w:rPr>
        <w:t>Recuperación SX: 87.3% (objetivo 95%)</w:t>
      </w:r>
    </w:p>
    <w:p>
      <w:pPr>
        <w:pStyle w:val="Heading2"/>
      </w:pPr>
      <w:r>
        <w:rPr>
          <w:rFonts w:ascii="Inter" w:hAnsi="Inter"/>
          <w:color w:val="2B2B2B"/>
        </w:rPr>
        <w:t>Impacto Económico Esperado</w:t>
      </w:r>
    </w:p>
    <w:p>
      <w:r>
        <w:rPr>
          <w:rFonts w:ascii="JetBrains Mono" w:hAnsi="JetBrains Mono"/>
          <w:b/>
          <w:color w:val="B87333"/>
          <w:sz w:val="20"/>
        </w:rPr>
        <w:t>Ahorro anual: $1,850,000 | Aumento recuperación: 8.2% | ROI: 320%</w:t>
      </w:r>
    </w:p>
    <w:p>
      <w:r>
        <w:br w:type="page"/>
      </w:r>
    </w:p>
    <w:p>
      <w:pPr>
        <w:pStyle w:val="Heading1"/>
      </w:pPr>
      <w:r>
        <w:rPr>
          <w:rFonts w:ascii="Inter" w:hAnsi="Inter"/>
          <w:color w:val="0F2A44"/>
        </w:rPr>
        <w:t>1. Análisis de Desempeño</w:t>
      </w:r>
    </w:p>
    <w:p>
      <w:pPr>
        <w:pStyle w:val="Heading2"/>
      </w:pPr>
      <w:r>
        <w:rPr>
          <w:rFonts w:ascii="Inter" w:hAnsi="Inter"/>
          <w:color w:val="2B2B2B"/>
        </w:rPr>
        <w:t>1.1 Recuperación por Proceso</w:t>
      </w:r>
    </w:p>
    <w:p>
      <w:r>
        <w:rPr>
          <w:rFonts w:ascii="Inter" w:hAnsi="Inter"/>
          <w:color w:val="2B2B2B"/>
          <w:sz w:val="22"/>
        </w:rPr>
        <w:t>Análisis de recuperación metálica en cada etapa del circuito SX. Lixiviación presenta el mejor desempeño (94.2%) mientras que SX es el punto crítico de optimización.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3112507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11250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ascii="Inter" w:hAnsi="Inter"/>
          <w:i/>
          <w:sz w:val="20"/>
        </w:rPr>
        <w:t>Figura 1: Recuperación metálica por etapa del proceso</w:t>
      </w:r>
    </w:p>
    <w:p>
      <w:r>
        <w:br w:type="page"/>
      </w:r>
    </w:p>
    <w:p>
      <w:pPr>
        <w:pStyle w:val="Heading2"/>
      </w:pPr>
      <w:r>
        <w:rPr>
          <w:rFonts w:ascii="Inter" w:hAnsi="Inter"/>
          <w:color w:val="2B2B2B"/>
        </w:rPr>
        <w:t>1.2 Evolución de pH en el Circuito</w:t>
      </w:r>
    </w:p>
    <w:p>
      <w:r>
        <w:rPr>
          <w:rFonts w:ascii="Inter" w:hAnsi="Inter"/>
          <w:color w:val="2B2B2B"/>
          <w:sz w:val="22"/>
        </w:rPr>
        <w:t>Monitoreo diario de pH durante 30 días. Se observa que el sistema oscila entre 1.35 y 1.65, con una desviación promedio de ±0.15 respecto al setpoint de 1.50. Esta variabilidad afecta la estabilidad de la extracción de cobre.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3116747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11674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ascii="Inter" w:hAnsi="Inter"/>
          <w:i/>
          <w:sz w:val="20"/>
        </w:rPr>
        <w:t>Figura 2: Tendencia de pH en circuito SX (últimos 30 días)</w:t>
      </w:r>
    </w:p>
    <w:p>
      <w:r>
        <w:br w:type="page"/>
      </w:r>
    </w:p>
    <w:p>
      <w:pPr>
        <w:pStyle w:val="Heading2"/>
      </w:pPr>
      <w:r>
        <w:rPr>
          <w:rFonts w:ascii="Inter" w:hAnsi="Inter"/>
          <w:color w:val="2B2B2B"/>
        </w:rPr>
        <w:t>1.3 Análisis de Pérdidas</w:t>
      </w:r>
    </w:p>
    <w:p>
      <w:r>
        <w:rPr>
          <w:rFonts w:ascii="Inter" w:hAnsi="Inter"/>
          <w:color w:val="2B2B2B"/>
          <w:sz w:val="22"/>
        </w:rPr>
        <w:t>Distribución de pérdidas metalúrgicas identificadas en el proceso. La pérdida de orgánico en SX representa el 45% del total de pérdidas, seguida de pérdidas de cobre en lixiviación (30%) y descartes de EW (15%).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3802944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8029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ascii="Inter" w:hAnsi="Inter"/>
          <w:i/>
          <w:sz w:val="20"/>
        </w:rPr>
        <w:t>Figura 3: Distribución porcentual de pérdidas totales</w:t>
      </w:r>
    </w:p>
    <w:p>
      <w:r>
        <w:br w:type="page"/>
      </w:r>
    </w:p>
    <w:p>
      <w:pPr>
        <w:pStyle w:val="Heading1"/>
      </w:pPr>
      <w:r>
        <w:rPr>
          <w:rFonts w:ascii="Inter" w:hAnsi="Inter"/>
          <w:color w:val="0F2A44"/>
        </w:rPr>
        <w:t>2. Escenario de Mejora</w:t>
      </w:r>
    </w:p>
    <w:p>
      <w:pPr>
        <w:pStyle w:val="Heading2"/>
      </w:pPr>
      <w:r>
        <w:rPr>
          <w:rFonts w:ascii="Inter" w:hAnsi="Inter"/>
          <w:color w:val="2B2B2B"/>
        </w:rPr>
        <w:t>2.1 Proyección Antes-Después</w:t>
      </w:r>
    </w:p>
    <w:p>
      <w:r>
        <w:rPr>
          <w:rFonts w:ascii="Inter" w:hAnsi="Inter"/>
          <w:color w:val="2B2B2B"/>
          <w:sz w:val="22"/>
        </w:rPr>
        <w:t>Comparativa de indicadores operacionales con la implementación de las recomendaciones técnicas propuestas. Se proyecta un aumento significativo en recuperación total y reducción de pérdidas.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3112507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11250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ascii="Inter" w:hAnsi="Inter"/>
          <w:i/>
          <w:sz w:val="20"/>
        </w:rPr>
        <w:t>Figura 4: Proyección de mejora con implementación de recomendaciones</w:t>
      </w:r>
    </w:p>
    <w:p>
      <w:r>
        <w:br w:type="page"/>
      </w:r>
    </w:p>
    <w:p>
      <w:pPr>
        <w:pStyle w:val="Heading1"/>
      </w:pPr>
      <w:r>
        <w:rPr>
          <w:rFonts w:ascii="Inter" w:hAnsi="Inter"/>
          <w:color w:val="0F2A44"/>
        </w:rPr>
        <w:t>3. Recomendaciones Priorizadas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928"/>
        <w:gridCol w:w="2928"/>
        <w:gridCol w:w="2928"/>
      </w:tblGrid>
      <w:tr>
        <w:tc>
          <w:tcPr>
            <w:tcW w:type="dxa" w:w="2928"/>
          </w:tcPr>
          <w:p>
            <w:r>
              <w:rPr>
                <w:rFonts w:ascii="Inter" w:hAnsi="Inter"/>
                <w:b/>
                <w:color w:val="FFFFFF"/>
                <w:sz w:val="20"/>
              </w:rPr>
              <w:t>Acción</w:t>
            </w:r>
          </w:p>
        </w:tc>
        <w:tc>
          <w:tcPr>
            <w:tcW w:type="dxa" w:w="2928"/>
          </w:tcPr>
          <w:p>
            <w:r>
              <w:rPr>
                <w:rFonts w:ascii="Inter" w:hAnsi="Inter"/>
                <w:b/>
                <w:color w:val="FFFFFF"/>
                <w:sz w:val="20"/>
              </w:rPr>
              <w:t>Impacto Esperado</w:t>
            </w:r>
          </w:p>
        </w:tc>
        <w:tc>
          <w:tcPr>
            <w:tcW w:type="dxa" w:w="2928"/>
          </w:tcPr>
          <w:p>
            <w:r>
              <w:rPr>
                <w:rFonts w:ascii="Inter" w:hAnsi="Inter"/>
                <w:b/>
                <w:color w:val="FFFFFF"/>
                <w:sz w:val="20"/>
              </w:rPr>
              <w:t>Prioridad</w:t>
            </w:r>
          </w:p>
        </w:tc>
      </w:tr>
      <w:tr>
        <w:tc>
          <w:tcPr>
            <w:tcW w:type="dxa" w:w="2928"/>
          </w:tcPr>
          <w:p>
            <w:r>
              <w:rPr>
                <w:rFonts w:ascii="Inter" w:hAnsi="Inter"/>
                <w:sz w:val="20"/>
              </w:rPr>
              <w:t>Optimizar dosificación de extractante</w:t>
            </w:r>
          </w:p>
        </w:tc>
        <w:tc>
          <w:tcPr>
            <w:tcW w:type="dxa" w:w="2928"/>
          </w:tcPr>
          <w:p>
            <w:r>
              <w:rPr>
                <w:rFonts w:ascii="Inter" w:hAnsi="Inter"/>
                <w:sz w:val="20"/>
              </w:rPr>
              <w:t>Reducir pérdida orgánico 5-7%</w:t>
            </w:r>
          </w:p>
        </w:tc>
        <w:tc>
          <w:tcPr>
            <w:tcW w:type="dxa" w:w="2928"/>
          </w:tcPr>
          <w:p>
            <w:r>
              <w:rPr>
                <w:rFonts w:ascii="Inter" w:hAnsi="Inter"/>
                <w:sz w:val="20"/>
              </w:rPr>
              <w:t>ALTA</w:t>
            </w:r>
          </w:p>
        </w:tc>
      </w:tr>
      <w:tr>
        <w:tc>
          <w:tcPr>
            <w:tcW w:type="dxa" w:w="2928"/>
          </w:tcPr>
          <w:p>
            <w:r>
              <w:rPr>
                <w:rFonts w:ascii="Inter" w:hAnsi="Inter"/>
                <w:sz w:val="20"/>
              </w:rPr>
              <w:t>Implementar control de crud</w:t>
            </w:r>
          </w:p>
        </w:tc>
        <w:tc>
          <w:tcPr>
            <w:tcW w:type="dxa" w:w="2928"/>
          </w:tcPr>
          <w:p>
            <w:r>
              <w:rPr>
                <w:rFonts w:ascii="Inter" w:hAnsi="Inter"/>
                <w:sz w:val="20"/>
              </w:rPr>
              <w:t>Mejorar estabilidad de electrolito</w:t>
            </w:r>
          </w:p>
        </w:tc>
        <w:tc>
          <w:tcPr>
            <w:tcW w:type="dxa" w:w="2928"/>
          </w:tcPr>
          <w:p>
            <w:r>
              <w:rPr>
                <w:rFonts w:ascii="Inter" w:hAnsi="Inter"/>
                <w:sz w:val="20"/>
              </w:rPr>
              <w:t>ALTA</w:t>
            </w:r>
          </w:p>
        </w:tc>
      </w:tr>
      <w:tr>
        <w:tc>
          <w:tcPr>
            <w:tcW w:type="dxa" w:w="2928"/>
          </w:tcPr>
          <w:p>
            <w:r>
              <w:rPr>
                <w:rFonts w:ascii="Inter" w:hAnsi="Inter"/>
                <w:sz w:val="20"/>
              </w:rPr>
              <w:t>Revisar parámetros de re-extracción</w:t>
            </w:r>
          </w:p>
        </w:tc>
        <w:tc>
          <w:tcPr>
            <w:tcW w:type="dxa" w:w="2928"/>
          </w:tcPr>
          <w:p>
            <w:r>
              <w:rPr>
                <w:rFonts w:ascii="Inter" w:hAnsi="Inter"/>
                <w:sz w:val="20"/>
              </w:rPr>
              <w:t>Aumentar recuperación 2-3%</w:t>
            </w:r>
          </w:p>
        </w:tc>
        <w:tc>
          <w:tcPr>
            <w:tcW w:type="dxa" w:w="2928"/>
          </w:tcPr>
          <w:p>
            <w:r>
              <w:rPr>
                <w:rFonts w:ascii="Inter" w:hAnsi="Inter"/>
                <w:sz w:val="20"/>
              </w:rPr>
              <w:t>MEDIA</w:t>
            </w:r>
          </w:p>
        </w:tc>
      </w:tr>
    </w:tbl>
    <w:p/>
    <w:p>
      <w:pPr>
        <w:jc w:val="center"/>
      </w:pPr>
      <w:r>
        <w:rPr>
          <w:rFonts w:ascii="Inter" w:hAnsi="Inter"/>
          <w:i/>
          <w:color w:val="2B2B2B"/>
          <w:sz w:val="18"/>
        </w:rPr>
        <w:t>Documento preparado por HydroSynapse | Especialización en Hidrometalurgia del Cobre</w:t>
      </w:r>
    </w:p>
    <w:sectPr w:rsidR="00FC693F" w:rsidRPr="0006063C" w:rsidSect="00034616">
      <w:pgSz w:w="12240" w:h="15840"/>
      <w:pgMar w:top="1440" w:right="1728" w:bottom="144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